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svg" ContentType="image/svg+xml"/>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 Id="rId00004" Type="http://schemas.openxmlformats.org/officeDocument/2006/relationships/custom-properties" Target="docProps/custom.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lang w:val="en-GB" w:eastAsia="en-GB" w:bidi="en-GB"/>
        </w:rPr>
      </w:pPr>
      <w:r>
        <w:rPr>
          <w:b/>
          <w:bCs/>
          <w:sz w:val="25"/>
          <w:szCs w:val="25"/>
          <w:lang w:val="en-GB" w:eastAsia="en-GB" w:bidi="en-GB"/>
        </w:rPr>
        <w:t xml:space="preserve">Job Description</w:t>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b/>
          <w:bCs/>
          <w:sz w:val="25"/>
          <w:szCs w:val="25"/>
          <w:lang w:val="en-GB" w:eastAsia="en-GB" w:bidi="en-GB"/>
        </w:rPr>
      </w:pPr>
      <w:r>
        <w:rPr>
          <w:b/>
          <w:bCs/>
          <w:sz w:val="25"/>
          <w:szCs w:val="25"/>
          <w:lang w:val="en-GB" w:eastAsia="en-GB" w:bidi="en-GB"/>
        </w:rPr>
        <w:t xml:space="preserve">Non – Executive Director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b/>
          <w:bCs/>
          <w:lang w:val="en-GB" w:eastAsia="en-GB" w:bidi="en-GB"/>
        </w:rPr>
      </w:pPr>
    </w:p>
    <w:tbl>
      <w:tblPr>
        <w:tblW w:w="0" w:type="auto"/>
        <w:jc w:val="left"/>
        <w:tblInd w:w="0" w:type="dxa"/>
        <w:tblBorders>
          <w:top w:val="single" w:sz="4" w:space="0" w:color="auto"/>
          <w:left w:val="single" w:sz="4" w:space="0" w:color="auto"/>
          <w:bottom w:val="single" w:sz="4" w:space="0" w:color="auto"/>
          <w:right w:val="single" w:sz="4" w:space="0" w:color="auto"/>
          <w:insideH w:val="none"/>
          <w:insideV w:val="none"/>
        </w:tblBorders>
        <w:tblLayout w:type="fixed"/>
        <w:tblCellMar>
          <w:top w:w="80" w:type="dxa"/>
          <w:left w:w="160" w:type="dxa"/>
          <w:bottom w:w="80" w:type="dxa"/>
          <w:right w:w="160" w:type="dxa"/>
        </w:tblCellMar>
      </w:tblPr>
      <w:tblGrid>
        <w:gridCol w:w="9840"/>
      </w:tblGrid>
      <w:tr>
        <w:tc>
          <w:tcPr>
            <w:tcW w:w="9840" w:type="dxa"/>
            <w:tcBorders>
              <w:bottom w:val="single" w:sz="4" w:space="0" w:color="auto"/>
            </w:tcBorders>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Job Details</w:t>
            </w:r>
          </w:p>
        </w:tc>
      </w:tr>
    </w:tbl>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Pr>
      <w:tblGrid>
        <w:gridCol w:w="4919"/>
        <w:gridCol w:w="4921"/>
      </w:tblGrid>
      <w:tr>
        <w:tc>
          <w:tcPr>
            <w:tcW w:w="4919" w:type="dxa"/>
            <w:tcBorders>
              <w:top w:val="single" w:sz="4" w:space="0" w:color="auto"/>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Grade</w:t>
            </w:r>
          </w:p>
        </w:tc>
        <w:tc>
          <w:tcPr>
            <w:tcW w:w="4921" w:type="dxa"/>
            <w:tcBorders>
              <w:top w:val="single" w:sz="4" w:space="0" w:color="auto"/>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7</w:t>
            </w: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Number of Posts</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1</w:t>
            </w: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Department</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r>
      <w:t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Reporting to </w:t>
            </w:r>
          </w:p>
        </w:tc>
        <w:tc>
          <w:tcPr>
            <w:tcW w:w="4921" w:type="dxa"/>
            <w:shd w:val="clear" w:color="auto" w:fill="FFFFFF"/>
            <w:vAlign w:val="top"/>
          </w:tcPr>
          <w:p>
            <w:pPr>
              <w:pStyle w:val="Normal"/>
              <w:widowControl w:val="off"/>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Chair of the Board</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7E6E6"/>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Who Are We? </w:t>
            </w:r>
          </w:p>
        </w:tc>
      </w:tr>
      <w:tr>
        <w:tc>
          <w:tcPr>
            <w:tcW w:w="9840" w:type="dxa"/>
            <w:shd w:val="clear" w:color="auto" w:fill="auto"/>
            <w:vAlign w:val="top"/>
          </w:tcPr>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We are Birmingham Children’s Trust.</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‘Working Together to make Birmingham the greatest city to grow up in.’</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The sole purpose of Birmingham Children’s Trust is to make a positive difference for children, young people and families in the city, by driving up the quality of practice and partnerships across the city and its services.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Every employee from Family Support and Social Workers to Finance and Legal, work together to make a positive difference to children, young people and families. We are one team, and each have an important role to play in achieving the Trusts objectives.</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Birmingham Children’s Trust Leadership team comprises of six Executive Directors who are responsible for leading and managing the Trust to be an autonomous and high performing organisation.  </w:t>
            </w:r>
          </w:p>
          <w:p>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Arial" w:hAnsi="Arial" w:eastAsia="Arial" w:cs="Arial"/>
                <w:b/>
                <w:bCs/>
                <w:sz w:val="22"/>
                <w:szCs w:val="22"/>
                <w:lang w:val="en-GB" w:eastAsia="en-GB" w:bidi="en-GB"/>
              </w:rPr>
            </w:pPr>
            <w:r>
              <w:rPr>
                <w:rFonts w:ascii="Arial" w:hAnsi="Arial" w:eastAsia="Arial" w:cs="Arial"/>
                <w:b/>
                <w:bCs/>
                <w:sz w:val="22"/>
                <w:szCs w:val="22"/>
                <w:lang w:val="en-GB" w:eastAsia="en-GB" w:bidi="en-GB"/>
              </w:rPr>
              <w:t xml:space="preserve">Our Vision: </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color w:val="FF0000"/>
                <w:lang w:val="en-GB" w:eastAsia="en-GB" w:bidi="en-GB"/>
              </w:rPr>
            </w:pPr>
            <w:r>
              <w:rPr>
                <w:rFonts w:ascii="Arial" w:hAnsi="Arial" w:eastAsia="Arial" w:cs="Arial"/>
                <w:lang w:val="en-GB" w:eastAsia="en-GB" w:bidi="en-GB"/>
              </w:rPr>
              <w:t xml:space="preserve">Our vision is to build a Trust that provides excellent social work and family support for and with the city’s most vulnerable children, young people and families.</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lang w:val="en-GB" w:eastAsia="en-GB" w:bidi="en-GB"/>
              </w:rPr>
            </w:pPr>
            <w:r>
              <w:rPr>
                <w:rFonts w:ascii="Arial" w:hAnsi="Arial" w:eastAsia="Arial" w:cs="Arial"/>
                <w:lang w:val="en-GB" w:eastAsia="en-GB" w:bidi="en-GB"/>
              </w:rPr>
              <w:t xml:space="preserve">We will do this: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with compassion and with care.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through positive relationships, building on strengths.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in collaboration with children, young people, families and partners.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by listening, involving and including. </w:t>
            </w:r>
          </w:p>
          <w:p>
            <w:pPr>
              <w:pStyle w:val="ListParagraph"/>
              <w:numPr>
                <w:ilvl w:val="0"/>
                <w:numId w:val="1"/>
              </w:numPr>
              <w:tabs>
                <w:tab w:val="left" w:pos="77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left="770" w:hanging="360"/>
              <w:jc w:val="both"/>
              <w:rPr>
                <w:rFonts w:ascii="Arial" w:hAnsi="Arial" w:eastAsia="Arial" w:cs="Arial"/>
                <w:lang w:val="en-GB" w:eastAsia="en-GB" w:bidi="en-GB"/>
              </w:rPr>
            </w:pPr>
            <w:r>
              <w:rPr>
                <w:rFonts w:ascii="Arial" w:hAnsi="Arial" w:eastAsia="Arial" w:cs="Arial"/>
                <w:lang w:val="en-GB" w:eastAsia="en-GB" w:bidi="en-GB"/>
              </w:rPr>
              <w:t xml:space="preserve">in ways that are efficient and deliver value for money. </w:t>
            </w:r>
          </w:p>
          <w:p>
            <w:pPr>
              <w:pStyle w:val="Normal"/>
              <w:tabs>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rFonts w:ascii="Arial" w:hAnsi="Arial" w:eastAsia="Arial" w:cs="Arial"/>
                <w:lang w:val="en-GB" w:eastAsia="en-GB" w:bidi="en-GB"/>
              </w:rPr>
            </w:pPr>
            <w:r>
              <w:rPr>
                <w:rFonts w:ascii="Arial" w:hAnsi="Arial" w:eastAsia="Arial" w:cs="Arial"/>
                <w:lang w:val="en-GB" w:eastAsia="en-GB" w:bidi="en-GB"/>
              </w:rPr>
              <w:t xml:space="preserve">Success will mean significant progress towards these outcomes: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healthy, happy, resilient children living in families.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families able to make positive changes.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children able to attend, learn and achieve at school.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young people ready for and contributing to adult life. </w:t>
            </w:r>
          </w:p>
          <w:p>
            <w:pPr>
              <w:pStyle w:val="ListParagraph"/>
              <w:numPr>
                <w:ilvl w:val="0"/>
                <w:numId w:val="2"/>
              </w:numPr>
              <w:tabs>
                <w:tab w:val="left" w:pos="720"/>
                <w:tab w:val="left" w:pos="1418"/>
                <w:tab w:val="left" w:pos="5103"/>
                <w:tab w:val="left" w:pos="6521"/>
                <w:tab w:val="left" w:pos="7200"/>
                <w:tab w:val="left" w:pos="7920"/>
                <w:tab w:val="left" w:pos="8640"/>
                <w:tab w:val="left" w:pos="9360"/>
                <w:tab w:val="left" w:pos="10080"/>
                <w:tab w:val="left" w:pos="10800"/>
                <w:tab w:val="left" w:pos="11520"/>
                <w:tab w:val="left" w:pos="12240"/>
                <w:tab w:val="left" w:pos="12960"/>
                <w:tab w:val="left" w:pos="13680"/>
              </w:tabs>
              <w:ind w:hanging="360"/>
              <w:jc w:val="both"/>
              <w:rPr>
                <w:rFonts w:ascii="Arial" w:hAnsi="Arial" w:eastAsia="Arial" w:cs="Arial"/>
                <w:lang w:val="en-GB" w:eastAsia="en-GB" w:bidi="en-GB"/>
              </w:rPr>
            </w:pPr>
            <w:r>
              <w:rPr>
                <w:rFonts w:ascii="Arial" w:hAnsi="Arial" w:eastAsia="Arial" w:cs="Arial"/>
                <w:lang w:val="en-GB" w:eastAsia="en-GB" w:bidi="en-GB"/>
              </w:rPr>
              <w:t xml:space="preserve">children and young people safe from harm.</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b/>
                <w:bCs/>
                <w:sz w:val="22"/>
                <w:szCs w:val="22"/>
                <w:lang w:val="en-GB" w:eastAsia="en-GB" w:bidi="en-GB"/>
              </w:rPr>
            </w:pPr>
            <w:r>
              <w:rPr>
                <w:rFonts w:ascii="Arial" w:hAnsi="Arial" w:eastAsia="Arial" w:cs="Arial"/>
                <w:b/>
                <w:bCs/>
                <w:sz w:val="22"/>
                <w:szCs w:val="22"/>
                <w:lang w:val="en-GB" w:eastAsia="en-GB" w:bidi="en-GB"/>
              </w:rPr>
              <w:t xml:space="preserve">Our Values: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w:t>
            </w:r>
          </w:p>
          <w:p>
            <w:pPr>
              <w:pStyle w:val="NormalWeb"/>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360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ONE </w:t>
            </w:r>
            <w:r>
              <w:rPr>
                <w:rStyle w:val="Strong"/>
                <w:rFonts w:ascii="Arial" w:hAnsi="Arial" w:eastAsia="Arial" w:cs="Arial"/>
                <w:color w:val="ED7D31"/>
                <w:sz w:val="22"/>
                <w:szCs w:val="22"/>
                <w:lang w:val="en-GB" w:eastAsia="en-GB" w:bidi="en-GB"/>
              </w:rPr>
              <w:t xml:space="preserve">T</w:t>
            </w:r>
            <w:r>
              <w:rPr>
                <w:rFonts w:ascii="Arial" w:hAnsi="Arial" w:eastAsia="Arial" w:cs="Arial"/>
                <w:sz w:val="22"/>
                <w:szCs w:val="22"/>
                <w:lang w:val="en-GB" w:eastAsia="en-GB" w:bidi="en-GB"/>
              </w:rPr>
              <w:t xml:space="preserve">EAM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ACCOUNTABILITY AND </w:t>
            </w:r>
            <w:r>
              <w:rPr>
                <w:rStyle w:val="Strong"/>
                <w:rFonts w:ascii="Arial" w:hAnsi="Arial" w:eastAsia="Arial" w:cs="Arial"/>
                <w:color w:val="ED7D31"/>
                <w:sz w:val="22"/>
                <w:szCs w:val="22"/>
                <w:lang w:val="en-GB" w:eastAsia="en-GB" w:bidi="en-GB"/>
              </w:rPr>
              <w:t xml:space="preserve">R</w:t>
            </w:r>
            <w:r>
              <w:rPr>
                <w:rFonts w:ascii="Arial" w:hAnsi="Arial" w:eastAsia="Arial" w:cs="Arial"/>
                <w:sz w:val="22"/>
                <w:szCs w:val="22"/>
                <w:lang w:val="en-GB" w:eastAsia="en-GB" w:bidi="en-GB"/>
              </w:rPr>
              <w:t xml:space="preserve">ESPONSIBILITY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Q</w:t>
            </w:r>
            <w:r>
              <w:rPr>
                <w:rStyle w:val="Strong"/>
                <w:rFonts w:ascii="Arial" w:hAnsi="Arial" w:eastAsia="Arial" w:cs="Arial"/>
                <w:color w:val="ED7D31"/>
                <w:sz w:val="22"/>
                <w:szCs w:val="22"/>
                <w:lang w:val="en-GB" w:eastAsia="en-GB" w:bidi="en-GB"/>
              </w:rPr>
              <w:t xml:space="preserve">U</w:t>
            </w:r>
            <w:r>
              <w:rPr>
                <w:rFonts w:ascii="Arial" w:hAnsi="Arial" w:eastAsia="Arial" w:cs="Arial"/>
                <w:sz w:val="22"/>
                <w:szCs w:val="22"/>
                <w:lang w:val="en-GB" w:eastAsia="en-GB" w:bidi="en-GB"/>
              </w:rPr>
              <w:t xml:space="preserve">ALITY AND INNOVATION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RELATION</w:t>
            </w:r>
            <w:r>
              <w:rPr>
                <w:rStyle w:val="Strong"/>
                <w:rFonts w:ascii="Arial" w:hAnsi="Arial" w:eastAsia="Arial" w:cs="Arial"/>
                <w:color w:val="ED7D31"/>
                <w:sz w:val="22"/>
                <w:szCs w:val="22"/>
                <w:lang w:val="en-GB" w:eastAsia="en-GB" w:bidi="en-GB"/>
              </w:rPr>
              <w:t xml:space="preserve">S</w:t>
            </w:r>
            <w:r>
              <w:rPr>
                <w:rFonts w:ascii="Arial" w:hAnsi="Arial" w:eastAsia="Arial" w:cs="Arial"/>
                <w:sz w:val="22"/>
                <w:szCs w:val="22"/>
                <w:lang w:val="en-GB" w:eastAsia="en-GB" w:bidi="en-GB"/>
              </w:rPr>
              <w:t xml:space="preserve">HIPS  </w:t>
            </w:r>
          </w:p>
          <w:p>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Arial" w:hAnsi="Arial" w:eastAsia="Arial" w:cs="Arial"/>
                <w:sz w:val="22"/>
                <w:szCs w:val="22"/>
                <w:lang w:val="en-GB" w:eastAsia="en-GB" w:bidi="en-GB"/>
              </w:rPr>
            </w:pPr>
            <w:r>
              <w:rPr>
                <w:rFonts w:ascii="Arial" w:hAnsi="Arial" w:eastAsia="Arial" w:cs="Arial"/>
                <w:sz w:val="22"/>
                <w:szCs w:val="22"/>
                <w:lang w:val="en-GB" w:eastAsia="en-GB" w:bidi="en-GB"/>
              </w:rPr>
              <w:t xml:space="preserve">                                                             HIGH SUPPOR</w:t>
            </w:r>
            <w:r>
              <w:rPr>
                <w:rStyle w:val="Strong"/>
                <w:rFonts w:ascii="Arial" w:hAnsi="Arial" w:eastAsia="Arial" w:cs="Arial"/>
                <w:color w:val="ED7D31"/>
                <w:sz w:val="22"/>
                <w:szCs w:val="22"/>
                <w:lang w:val="en-GB" w:eastAsia="en-GB" w:bidi="en-GB"/>
              </w:rPr>
              <w:t xml:space="preserve">T</w:t>
            </w:r>
            <w:r>
              <w:rPr>
                <w:rFonts w:ascii="Arial" w:hAnsi="Arial" w:eastAsia="Arial" w:cs="Arial"/>
                <w:sz w:val="22"/>
                <w:szCs w:val="22"/>
                <w:lang w:val="en-GB" w:eastAsia="en-GB" w:bidi="en-GB"/>
              </w:rPr>
              <w:t xml:space="preserve"> HIGH CHALLENGE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Overview of the role:</w:t>
            </w:r>
          </w:p>
        </w:tc>
      </w:tr>
      <w:tr>
        <w:tc>
          <w:tcPr>
            <w:tcW w:w="984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The work of Birmingham Children’s Trust is supported by a Board led by a Chair and Chief Executive. Independent non-executive directors work alongside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en-GB" w:eastAsia="en-GB" w:bidi="en-GB"/>
              </w:rPr>
            </w:pPr>
            <w:r>
              <w:rPr>
                <w:lang w:val="en-GB" w:eastAsia="en-GB" w:bidi="en-GB"/>
              </w:rPr>
              <w:t xml:space="preserve">The Board’s remit is to:</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set the vision and objectives of the Trust and children’s services.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bring professional and personal expertise to discussions.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demonstrate strategic vision, independent judgement and an ability to think creatively.</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focus on ensuring the long-term success of the Trust and sustainable good outcomes for children and families.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provide focus, leadership and innovation to the delivery of children’s services in Birmingham.</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drive a sustainable model of delivery and improvement designed to bring good and excellent services to the city.</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innovate where possible and bring the freedoms of a Trust approach to develop a new and sharper focus to the difficult issues children’s services face.</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secure the ongoing commitment of senior and political leaders across Birmingham to work to significantly reduce harm and promote the wellbeing of children and young people in Birmingham.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jc w:val="both"/>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en-GB" w:eastAsia="en-GB" w:bidi="en-GB"/>
              </w:rPr>
            </w:pPr>
            <w:r>
              <w:rPr>
                <w:lang w:val="en-GB" w:eastAsia="en-GB" w:bidi="en-GB"/>
              </w:rPr>
              <w:t xml:space="preserve">Non-executive directors may be required to chair or serve on one or more committees of the Board. The committees are:</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Finance and Resources.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Performance and Quality Assurance.</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Workforce.</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lang w:val="en-GB" w:eastAsia="en-GB" w:bidi="en-GB"/>
              </w:rPr>
            </w:pPr>
            <w:r>
              <w:rPr>
                <w:lang w:val="en-GB" w:eastAsia="en-GB" w:bidi="en-GB"/>
              </w:rPr>
              <w:t xml:space="preserve">Nominations and Remuneration.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lang w:val="en-GB" w:eastAsia="en-GB" w:bidi="en-GB"/>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Non-Executive Directors will be expected to devote such time as is necessary for the proper performance of their duties and should be prepared to spend at least 12 days per year on Company business. </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Key Responsibilities:</w:t>
            </w:r>
          </w:p>
        </w:tc>
      </w:tr>
      <w:tr>
        <w:tc>
          <w:tcPr>
            <w:tcW w:w="9840" w:type="dxa"/>
            <w:shd w:val="clear" w:color="auto" w:fill="FFFFFF"/>
            <w:vAlign w:val="top"/>
          </w:tcPr>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hanging="360"/>
              <w:rPr>
                <w:lang w:val="en-GB" w:eastAsia="en-GB" w:bidi="en-GB"/>
              </w:rPr>
            </w:pPr>
            <w:r>
              <w:rPr>
                <w:lang w:val="en-GB" w:eastAsia="en-GB" w:bidi="en-GB"/>
              </w:rPr>
              <w:t xml:space="preserve">To contribute in a collaborative manner to the work of the Trust.</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To share responsibility for ensuring the best possible children’s social care services are delivered to the vulnerable children of Birmingham.</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To ensure regulatory standards are met.</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To behave with probity and ethically thereby securing the confidence of Birmingham citizens in the Trust.</w:t>
            </w:r>
          </w:p>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bring to the Board social work, finance, HR, legal and IT expertise and experience.</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reflect the local community.</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have experience and knowledge of Birmingham.</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have experience and knowledge of partner agencies.</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hold Executive Directors to account for their performance and delivery of improving services, in a culture of ‘high challenge, high support’.</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a wide range of expertise and perspectives to support diversity.</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knowledge and understanding of local communities and the disadvantages faced by vulnerable children and young people.</w:t>
            </w:r>
          </w:p>
        </w:tc>
      </w:tr>
      <w:tr>
        <w:tc>
          <w:tcPr>
            <w:tcW w:w="9840" w:type="dxa"/>
            <w:shd w:val="clear" w:color="auto" w:fill="FFFFFF"/>
            <w:vAlign w:val="top"/>
          </w:tcPr>
          <w:p>
            <w:pPr>
              <w:pStyle w:val="ListParagraph"/>
              <w:widowControl w:val="off"/>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hanging="360"/>
              <w:rPr>
                <w:lang w:val="en-GB" w:eastAsia="en-GB" w:bidi="en-GB"/>
              </w:rPr>
            </w:pPr>
            <w:r>
              <w:rPr>
                <w:lang w:val="en-GB" w:eastAsia="en-GB" w:bidi="en-GB"/>
              </w:rPr>
              <w:t xml:space="preserve">significant experience in improving children’s social care.</w:t>
            </w:r>
          </w:p>
        </w:tc>
      </w:tr>
      <w:tr>
        <w:tc>
          <w:tcPr>
            <w:tcW w:w="9840" w:type="dxa"/>
            <w:shd w:val="clear" w:color="auto" w:fill="FFFFFF"/>
            <w:vAlign w:val="top"/>
          </w:tcPr>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360"/>
              <w:rPr>
                <w:lang w:val="en-GB" w:eastAsia="en-GB" w:bidi="en-GB"/>
              </w:rPr>
            </w:pPr>
            <w:r>
              <w:rPr>
                <w:lang w:val="en-GB" w:eastAsia="en-GB" w:bidi="en-GB"/>
              </w:rPr>
              <w:t xml:space="preserve">academic experience in a social care environment.</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bl>
      <w:tblPr>
        <w:tblW w:w="0" w:type="auto"/>
        <w:jc w:val="left"/>
        <w:tblInd w:w="0" w:type="dxa"/>
        <w:tblBorders>
          <w:top w:val="single" w:sz="8" w:space="0" w:color="000000"/>
          <w:left w:val="single" w:sz="8" w:space="0" w:color="000000"/>
          <w:bottom w:val="single" w:sz="8" w:space="0" w:color="000000"/>
          <w:right w:val="single" w:sz="8" w:space="0" w:color="000000"/>
          <w:insideH w:val="none"/>
          <w:insideV w:val="none"/>
        </w:tblBorders>
        <w:tblLayout w:type="fixed"/>
        <w:tblCellMar>
          <w:top w:w="80" w:type="dxa"/>
          <w:left w:w="160" w:type="dxa"/>
          <w:bottom w:w="80" w:type="dxa"/>
          <w:right w:w="160" w:type="dxa"/>
        </w:tblCellMar>
      </w:tblPr>
      <w:tblGrid>
        <w:gridCol w:w="9840"/>
      </w:tblGrid>
      <w:tr>
        <w:tc>
          <w:tcPr>
            <w:tcW w:w="9840" w:type="dxa"/>
            <w:tcBorders>
              <w:bottom w:val="single" w:sz="8" w:space="0" w:color="000000"/>
            </w:tcBorders>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shd w:val="clear" w:color="auto" w:fill="000000"/>
                <w:lang w:val="en-GB" w:eastAsia="en-GB" w:bidi="en-GB"/>
              </w:rPr>
            </w:pPr>
            <w:r>
              <w:rPr>
                <w:b/>
                <w:bCs/>
                <w:lang w:val="en-GB" w:eastAsia="en-GB" w:bidi="en-GB"/>
              </w:rPr>
              <w:t xml:space="preserve">Key Information</w:t>
            </w:r>
          </w:p>
        </w:tc>
      </w:tr>
    </w:tbl>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0" w:type="dxa"/>
          <w:left w:w="160" w:type="dxa"/>
          <w:bottom w:w="80" w:type="dxa"/>
          <w:right w:w="160" w:type="dxa"/>
        </w:tblCellMar>
      </w:tblPr>
      <w:tblGrid>
        <w:gridCol w:w="4919"/>
        <w:gridCol w:w="4921"/>
      </w:tblGrid>
      <w:tr>
        <w:trPr>
          <w:trHeight w:val="4074" w:hRule="atLeast"/>
        </w:trPr>
        <w:tc>
          <w:tcPr>
            <w:tcW w:w="4919"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Is a Safeguarding Check needed? </w:t>
            </w:r>
            <w:r>
              <w:rPr>
                <w:i/>
                <w:iCs/>
                <w:lang w:val="en-GB" w:eastAsia="en-GB" w:bidi="en-GB"/>
              </w:rPr>
              <w:t xml:space="preserve">(DBS and Experian background checks)</w:t>
            </w:r>
          </w:p>
        </w:tc>
        <w:tc>
          <w:tcPr>
            <w:tcW w:w="4921"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Dropdown Options:</w:t>
              <w:br w:type="textWrapping"/>
            </w:r>
          </w:p>
          <w:tbl>
            <w:tblPr>
              <w:tblW w:w="0" w:type="auto"/>
              <w:jc w:val="left"/>
              <w:tblInd w:w="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108" w:type="dxa"/>
                <w:bottom w:w="0" w:type="dxa"/>
                <w:right w:w="108" w:type="dxa"/>
              </w:tblCellMar>
            </w:tblPr>
            <w:tblGrid>
              <w:gridCol w:w="1556"/>
              <w:gridCol w:w="3044"/>
            </w:tblGrid>
            <w:tr>
              <w:trPr>
                <w:trHeight w:val="711" w:hRule="atLeast"/>
              </w:trPr>
              <w:tc>
                <w:tcPr>
                  <w:tcW w:w="1556"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Not Required</w:t>
                  </w:r>
                </w:p>
              </w:tc>
              <w:tc>
                <w:tcPr>
                  <w:tcW w:w="3044"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p>
              </w:tc>
            </w:tr>
          </w:tbl>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br w:type="textWrapping"/>
            </w:r>
            <w:r>
              <w:rPr>
                <w:b/>
                <w:bCs/>
                <w:lang w:val="en-GB" w:eastAsia="en-GB" w:bidi="en-GB"/>
              </w:rPr>
              <w:t xml:space="preserve">Or</w:t>
            </w:r>
          </w:p>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147"/>
              <w:gridCol w:w="1148"/>
              <w:gridCol w:w="1148"/>
              <w:gridCol w:w="1148"/>
            </w:tblGrid>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Children</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Adults</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Children and Adults</w:t>
                  </w:r>
                </w:p>
              </w:tc>
            </w:tr>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Basic</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r>
            <w:tr>
              <w:tc>
                <w:tcPr>
                  <w:tcW w:w="114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Enhanced</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YES</w:t>
                  </w: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c>
                <w:tcPr>
                  <w:tcW w:w="1148"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r>
          </w:tbl>
          <w:p/>
        </w:tc>
      </w:tr>
      <w:tr>
        <w:trPr>
          <w:trHeight w:val="1410" w:hRule="atLeast"/>
        </w:trPr>
        <w:tc>
          <w:tcPr>
            <w:tcW w:w="4919"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Will this position have Line Manager Responsibility?</w:t>
            </w:r>
          </w:p>
        </w:tc>
        <w:tc>
          <w:tcPr>
            <w:tcW w:w="4921"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Dropdown Options:</w:t>
            </w:r>
          </w:p>
          <w:tbl>
            <w:tblPr>
              <w:tblW w:w="0" w:type="auto"/>
              <w:jc w:val="left"/>
              <w:tblInd w:w="0" w:type="dxa"/>
              <w:tblBorders>
                <w:top w:val="single" w:sz="4" w:space="0" w:color="auto"/>
                <w:left w:val="single" w:sz="4" w:space="0" w:color="auto"/>
                <w:bottom w:val="single" w:sz="4" w:space="0" w:color="auto"/>
                <w:right w:val="single" w:sz="4" w:space="0" w:color="auto"/>
                <w:insideH w:val="single" w:sz="4" w:space="0" w:color="auto"/>
                <w:insideV w:val="none"/>
              </w:tblBorders>
              <w:tblLayout w:type="fixed"/>
              <w:tblCellMar>
                <w:top w:w="0" w:type="dxa"/>
                <w:left w:w="108" w:type="dxa"/>
                <w:bottom w:w="0" w:type="dxa"/>
                <w:right w:w="108" w:type="dxa"/>
              </w:tblCellMar>
            </w:tblPr>
            <w:tblGrid>
              <w:gridCol w:w="1287"/>
            </w:tblGrid>
            <w:tr>
              <w:tc>
                <w:tcPr>
                  <w:tcW w:w="128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tc>
            </w:tr>
            <w:tr>
              <w:tc>
                <w:tcPr>
                  <w:tcW w:w="1287" w:type="dxa"/>
                  <w:shd w:val="clear" w:color="auto" w:fill="auto"/>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No</w:t>
                  </w:r>
                </w:p>
              </w:tc>
            </w:tr>
          </w:tbl>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b/>
          <w:bCs/>
          <w:sz w:val="25"/>
          <w:szCs w:val="25"/>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center"/>
        <w:rPr>
          <w:lang w:val="en-GB" w:eastAsia="en-GB" w:bidi="en-GB"/>
        </w:rPr>
      </w:pPr>
      <w:r>
        <w:rPr>
          <w:b/>
          <w:bCs/>
          <w:sz w:val="25"/>
          <w:szCs w:val="25"/>
          <w:lang w:val="en-GB" w:eastAsia="en-GB" w:bidi="en-GB"/>
        </w:rPr>
        <w:t xml:space="preserve">Person Specification</w:t>
        <w:br w:type="textWrapping"/>
      </w:r>
    </w:p>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none"/>
        </w:tblBorders>
        <w:tblLayout w:type="fixed"/>
        <w:tblCellMar>
          <w:top w:w="80" w:type="dxa"/>
          <w:left w:w="160" w:type="dxa"/>
          <w:bottom w:w="80" w:type="dxa"/>
          <w:right w:w="160" w:type="dxa"/>
        </w:tblCellMar>
      </w:tblPr>
      <w:tblGrid>
        <w:gridCol w:w="9840"/>
      </w:tblGrid>
      <w:tr>
        <w:tc>
          <w:tcPr>
            <w:tcW w:w="9840" w:type="dxa"/>
            <w:shd w:val="clear" w:color="auto" w:fill="EEEEEE"/>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Essential Criteria</w:t>
            </w:r>
          </w:p>
        </w:tc>
      </w:tr>
      <w:tr>
        <w:tc>
          <w:tcPr>
            <w:tcW w:w="9840" w:type="dxa"/>
            <w:tcBorders>
              <w:bottom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Method of Assessment (M.O.A):</w:t>
            </w:r>
            <w:r>
              <w:rPr>
                <w:lang w:val="en-GB" w:eastAsia="en-GB" w:bidi="en-GB"/>
              </w:rPr>
              <w:t xml:space="preserve"> AF = Application Form; E = Work Based Exercise; I = Interview;</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P = Presentation; Q = Qualifications</w:t>
            </w:r>
          </w:p>
        </w:tc>
      </w:tr>
    </w:tbl>
    <w:tbl>
      <w:tblPr>
        <w:tblW w:w="0" w:type="auto"/>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0" w:type="dxa"/>
          <w:left w:w="160" w:type="dxa"/>
          <w:bottom w:w="80" w:type="dxa"/>
          <w:right w:w="160" w:type="dxa"/>
        </w:tblCellMar>
      </w:tblPr>
      <w:tblGrid>
        <w:gridCol w:w="2542"/>
        <w:gridCol w:w="4018"/>
        <w:gridCol w:w="3280"/>
      </w:tblGrid>
      <w:tr>
        <w:tc>
          <w:tcPr>
            <w:tcW w:w="2542"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CRITERIA</w:t>
            </w:r>
          </w:p>
        </w:tc>
        <w:tc>
          <w:tcPr>
            <w:tcW w:w="4018"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b/>
                <w:bCs/>
                <w:lang w:val="en-GB" w:eastAsia="en-GB" w:bidi="en-GB"/>
              </w:rPr>
            </w:pPr>
            <w:r>
              <w:rPr>
                <w:b/>
                <w:bCs/>
                <w:lang w:val="en-GB" w:eastAsia="en-GB" w:bidi="en-GB"/>
              </w:rPr>
              <w:t xml:space="preserve">ESSENTIAL</w:t>
            </w:r>
          </w:p>
        </w:tc>
        <w:tc>
          <w:tcPr>
            <w:tcW w:w="3280" w:type="dxa"/>
            <w:tcBorders>
              <w:top w:val="single" w:sz="8" w:space="0" w:color="000000"/>
            </w:tcBorders>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b/>
                <w:bCs/>
                <w:lang w:val="en-GB" w:eastAsia="en-GB" w:bidi="en-GB"/>
              </w:rPr>
              <w:t xml:space="preserve">Method of Assessment (M.O.A)</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Essential</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Strong understanding of children’s social care and experience of successful service improvement.</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Essential</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Recent relevant finance and business experience in a large and complex organisation preferably with an accountancy qualification.</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Essential </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High level experience as an academic in a social care-related field.</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Essential</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Knowledge and understanding of the complex community in Birmingham and the disadvantages faced by vulnerable children and young people.</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Experience</w:t>
            </w:r>
          </w:p>
        </w:tc>
        <w:tc>
          <w:tcPr>
            <w:tcW w:w="4018" w:type="dxa"/>
            <w:shd w:val="clear" w:color="auto" w:fill="FFFFFF"/>
            <w:vAlign w:val="top"/>
          </w:tcPr>
          <w:p>
            <w:pPr>
              <w:pStyle w:val="Normal"/>
              <w:widowControl w:val="off"/>
              <w:tabs>
                <w:tab w:val="left" w:pos="10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Have experience and knowledge of partner agencies.	</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Experience</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Hold Executive Directors to account for their performance and delivery of improving services, in a culture of ‘high challenge, high support’.</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Experience</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 wide range of expertise and perspectives to support diversity.</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Experience</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Knowledge and understanding of local communities and the disadvantages faced by vulnerable children and young people.</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Leadership and self-awareness – ability to gain respect and attention.</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Integrity, high ethical standards, sound judgement and a willingness to challenge.</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Demonstrate a citizen-focused approach.</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Champion the Board, including through working closely with other public and voluntary organisations.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Good interpersonal, listening and communication skills and the ability to engage with members and employees within the Board.</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Ability to work as part of a team and in partnership with other key organisations.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An understanding of how conflict occurs and how to deal with it effectively and sensitively.</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Ability to identify potential problems and deal with risk.</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r>
        <w:tc>
          <w:tcPr>
            <w:tcW w:w="2542"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Skills</w:t>
            </w:r>
          </w:p>
        </w:tc>
        <w:tc>
          <w:tcPr>
            <w:tcW w:w="4018"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Willingness to embrace change and innovation and a keenness to gain new knowledge and skills.</w:t>
            </w:r>
          </w:p>
        </w:tc>
        <w:tc>
          <w:tcPr>
            <w:tcW w:w="3280" w:type="dxa"/>
            <w:shd w:val="clear" w:color="auto" w:fill="FFFFFF"/>
            <w:vAlign w:val="top"/>
          </w:tcPr>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rPr>
                <w:lang w:val="en-GB" w:eastAsia="en-GB" w:bidi="en-GB"/>
              </w:rPr>
              <w:t xml:space="preserve">AF/I</w:t>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Style w:val="Strong"/>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lang w:val="en-GB" w:eastAsia="en-GB" w:bidi="en-GB"/>
        </w:rPr>
      </w:pPr>
      <w:r>
        <w:rPr>
          <w:b/>
          <w:bCs/>
          <w:lang w:val="en-GB" w:eastAsia="en-GB" w:bidi="en-G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p>
    <w:sectPr>
      <w:headerReference w:type="default" r:id="rId00008"/>
      <w:footerReference w:type="default" r:id="rId00009"/>
      <w:pgSz w:w="12240" w:h="15840"/>
      <w:pgMar w:top="700" w:right="1200" w:bottom="700" w:left="1200" w:header="500" w:footer="500"/>
      <w15:footnoteColumns w:val="1"/>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2EFF" w:usb1="C000247B" w:usb2="00000009" w:usb3="00000000" w:csb0="200001FF" w:csb1="00000000"/>
  </w:font>
  <w:font w:name="Liberation Sans">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lang w:val="en-GB" w:eastAsia="en-GB" w:bidi="en-GB"/>
      </w:rPr>
    </w:pPr>
    <w:r>
      <w:drawing>
        <wp:anchor distT="0" distB="0" distL="114300" distR="114300" simplePos="0" relativeHeight="251659264" behindDoc="0" locked="0" layoutInCell="1" hidden="0" allowOverlap="1">
          <wp:simplePos x="0" y="0"/>
          <wp:positionH relativeFrom="column">
            <wp:posOffset>3551555</wp:posOffset>
          </wp:positionH>
          <wp:positionV relativeFrom="paragraph">
            <wp:posOffset>0</wp:posOffset>
          </wp:positionV>
          <wp:extent cx="4699635" cy="4699635"/>
          <wp:wrapNone/>
          <wp:docPr id="2" name="Picture 2"/>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7"/>
                  <a:stretch>
                    <a:fillRect/>
                  </a:stretch>
                </pic:blipFill>
                <pic:spPr>
                  <a:xfrm>
                    <a:off x="0" y="0"/>
                    <a:ext cx="4699635" cy="4699635"/>
                  </a:xfrm>
                  <a:prstGeom prst="rect">
                    <a:avLst/>
                  </a:prstGeom>
                </pic:spPr>
              </pic:pic>
            </a:graphicData>
          </a:graphic>
        </wp:anchor>
      </w:drawing>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mc="http://schemas.openxmlformats.org/markup-compatibility/2006" xmlns:w14="http://schemas.microsoft.com/office/word/2010/wordml" xmlns:wpc="http://schemas.microsoft.com/office/word/2010/wordprocessingCanvas" xmlns:wpg="http://schemas.microsoft.com/office/word/2010/wordprocessingGroup" xmlns:wps="http://schemas.microsoft.com/office/word/2010/wordprocessingShape" xmlns:w15="http://schemas.microsoft.com/office/word/2012/wordml" xmlns:w16du="http://schemas.microsoft.com/office/word/2023/wordml/word16du" xmlns:tx19="http://schemas.textcontrol.com/tx/1900" xmlns:tx23="http://schemas.textcontrol.com/tx/2300" xmlns:tx26="http://schemas.textcontrol.com/tx/2600" mc:Ignorable="w14 wpc wpg wps w15 w16du tx19 tx23 tx26">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right"/>
      <w:rPr>
        <w:lang w:val="en-GB" w:eastAsia="en-GB" w:bidi="en-GB"/>
      </w:rPr>
    </w:pPr>
    <w:r>
      <w:rPr>
        <w:lang w:val="en-GB" w:eastAsia="en-GB" w:bidi="en-GB"/>
      </w:rPr>
      <w:drawing>
        <wp:inline distT="0" distB="0" distL="0" distR="0">
          <wp:extent cx="1997710" cy="398145"/>
          <wp:docPr id="1" name="Picture 1"/>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6"/>
                  <a:stretch>
                    <a:fillRect/>
                  </a:stretch>
                </pic:blipFill>
                <pic:spPr>
                  <a:xfrm>
                    <a:off x="0" y="0"/>
                    <a:ext cx="1997710" cy="39814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suff w:val="tab"/>
      <w:lvlText w:val=""/>
      <w:pPr>
        <w:ind w:left="770" w:hanging="360"/>
        <w:tabs>
          <w:tab w:val="num" w:pos="770"/>
        </w:tabs>
      </w:pPr>
      <w:rPr>
        <w:rFonts w:hint="default" w:ascii="Symbol" w:hAnsi="Symbol" w:eastAsia="Symbol" w:cs="Symbol"/>
        <w:b w:val="off"/>
        <w:i w:val="off"/>
        <w:strike w:val="off"/>
        <w:color w:val="auto"/>
        <w:position w:val="0"/>
        <w:sz w:val="22"/>
        <w:u w:val="none"/>
        <w:shd w:val="clear" w:color="auto" w:fill="auto"/>
      </w:rPr>
    </w:lvl>
  </w:abstractNum>
  <w:abstractNum w:abstractNumId="1">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auto"/>
        <w:position w:val="0"/>
        <w:sz w:val="22"/>
        <w:u w:val="none"/>
        <w:shd w:val="clear" w:color="auto" w:fill="auto"/>
      </w:rPr>
    </w:lvl>
  </w:abstractNum>
  <w:num w:numId="1">
    <w:abstractNumId w:val="0"/>
  </w:num>
  <w:num w:numId="2">
    <w:abstractNumId w:val="1"/>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defaultTabStop w:val="1134"/>
  <w:compat>
    <w:noExtraLineSpacing/>
    <w:doNotUseHTMLParagraphAutoSpacing/>
    <w:compatSetting w:name="compatibilityMode" w:uri="http://schemas.microsoft.com/office/word" w:val="15"/>
  </w:compat>
  <tx24:txVer tx24:val="32.0.434.500"/>
</w:settings>
</file>

<file path=word/styles.xml><?xml version="1.0" encoding="utf-8"?>
<w:styles xmlns:w="http://schemas.openxmlformats.org/wordprocessingml/2006/main">
  <w:docDefaults>
    <w:rPrDefault>
      <w:rPr>
        <w:rFonts w:ascii="Arial"/>
        <w:sz w:val="24"/>
      </w:rPr>
    </w:rPrDefault>
  </w:docDefaults>
  <w:style w:type="paragraph" w:styleId="[Normal]" w:customStyle="1">
    <w:name w:val="[Normal]"/>
    <w:basedOn w:val="Normal"/>
    <w:next w:val="[Normal]"/>
    <w:qFormat/>
    <w:pPr>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hAnsi="Arial" w:eastAsia="Arial" w:cs="Arial"/>
      <w:sz w:val="20"/>
      <w:szCs w:val="20"/>
      <w:lang w:val="en-GB" w:eastAsia="en-GB" w:bidi="en-GB"/>
    </w:rPr>
  </w:style>
  <w:style w:type="paragraph" w:styleId="Normal">
    <w:name w:val="Normal"/>
    <w:next w:val="Normal"/>
    <w:qFormat/>
    <w:pPr>
      <w:widowControl w:val="on"/>
      <w:shd w:val="clear" w:color="auto" w:fill="auto"/>
      <w:spacing w:before="0" w:after="120" w:line="240" w:lineRule="atLeast"/>
      <w:ind w:left="0" w:right="0" w:firstLine="0"/>
      <w:jc w:val="left"/>
      <w:outlineLvl w:val="9"/>
    </w:pPr>
    <w:rPr>
      <w:rFonts w:ascii="Calibri" w:hAnsi="Calibri" w:eastAsia="Calibri" w:cs="Calibri"/>
      <w:b w:val="off"/>
      <w:bCs w:val="off"/>
      <w:i w:val="off"/>
      <w:iCs w:val="off"/>
      <w:caps w:val="off"/>
      <w:smallCaps w:val="off"/>
      <w:strike w:val="off"/>
      <w:color w:val="auto"/>
      <w:spacing w:val="0"/>
      <w:w w:val="100"/>
      <w:position w:val="0"/>
      <w:sz w:val="22"/>
      <w:szCs w:val="22"/>
      <w:shd w:val="clear" w:color="auto" w:fill="auto"/>
      <w:vertAlign w:val="baseline"/>
      <w:rtl w:val="off"/>
      <w:lang w:val="en-GB" w:eastAsia="en-GB" w:bidi="en-GB"/>
    </w:rPr>
  </w:style>
  <w:style w:type="paragraph" w:styleId="NormalWeb">
    <w:name w:val="Normal (Web)"/>
    <w:basedOn w:val="Normal"/>
    <w:next w:val="NormalWeb"/>
    <w:qFormat/>
    <w:pPr>
      <w:spacing w:after="0" w:line="240" w:lineRule="auto"/>
    </w:pPr>
    <w:rPr>
      <w:rFonts w:ascii="Times New Roman" w:hAnsi="Times New Roman" w:eastAsia="Times New Roman" w:cs="Times New Roman"/>
      <w:sz w:val="24"/>
      <w:szCs w:val="24"/>
      <w:lang w:val="en-GB" w:eastAsia="en-GB" w:bidi="en-GB"/>
    </w:rPr>
  </w:style>
  <w:style w:type="paragraph" w:styleId="ListParagraph">
    <w:name w:val="List Paragraph"/>
    <w:basedOn w:val="Normal"/>
    <w:next w:val="ListParagraph"/>
    <w:qFormat/>
    <w:pPr>
      <w:ind w:left="720"/>
    </w:pPr>
    <w:rPr>
      <w:lang w:val="en-GB" w:eastAsia="en-GB" w:bidi="en-GB"/>
    </w:rPr>
  </w:style>
  <w:style w:type="character" w:styleId="Strong">
    <w:name w:val="Strong"/>
    <w:qFormat/>
    <w:rPr>
      <w:b/>
      <w:bCs/>
      <w:rtl w:val="off"/>
    </w:rPr>
  </w:style>
  <w:style w:type="paragraph" w:styleId="Heading" w:customStyle="1">
    <w:name w:val="Heading"/>
    <w:basedOn w:val="Normal"/>
    <w:next w:val="BodyText"/>
    <w:qFormat/>
    <w:pPr>
      <w:keepNext/>
      <w:spacing w:before="240"/>
    </w:pPr>
    <w:rPr>
      <w:rFonts w:ascii="Liberation Sans" w:hAnsi="Liberation Sans" w:eastAsia="Liberation Sans" w:cs="Liberation Sans"/>
      <w:sz w:val="28"/>
      <w:szCs w:val="28"/>
      <w:lang w:val="en-GB" w:eastAsia="en-GB" w:bidi="en-GB"/>
    </w:rPr>
  </w:style>
  <w:style w:type="paragraph" w:styleId="Heading1">
    <w:name w:val="heading 1"/>
    <w:basedOn w:val="Heading"/>
    <w:next w:val="Heading1"/>
    <w:qFormat/>
    <w:pPr>
      <w:keepLines/>
      <w:spacing w:before="480"/>
      <w:outlineLvl w:val="0"/>
    </w:pPr>
    <w:rPr>
      <w:b/>
      <w:bCs/>
      <w:sz w:val="48"/>
      <w:szCs w:val="48"/>
      <w:lang w:val="en-GB" w:eastAsia="en-GB" w:bidi="en-GB"/>
    </w:rPr>
  </w:style>
  <w:style w:type="paragraph" w:styleId="Heading2">
    <w:name w:val="heading 2"/>
    <w:basedOn w:val="Heading"/>
    <w:next w:val="Heading2"/>
    <w:qFormat/>
    <w:pPr>
      <w:keepLines/>
      <w:spacing w:before="360" w:after="80"/>
      <w:outlineLvl w:val="1"/>
    </w:pPr>
    <w:rPr>
      <w:b/>
      <w:bCs/>
      <w:sz w:val="36"/>
      <w:szCs w:val="36"/>
      <w:lang w:val="en-GB" w:eastAsia="en-GB" w:bidi="en-GB"/>
    </w:rPr>
  </w:style>
  <w:style w:type="paragraph" w:styleId="Heading3">
    <w:name w:val="heading 3"/>
    <w:basedOn w:val="Heading"/>
    <w:next w:val="Heading3"/>
    <w:qFormat/>
    <w:pPr>
      <w:keepLines/>
      <w:spacing w:before="280" w:after="80"/>
      <w:outlineLvl w:val="2"/>
    </w:pPr>
    <w:rPr>
      <w:b/>
      <w:bCs/>
      <w:lang w:val="en-GB" w:eastAsia="en-GB" w:bidi="en-GB"/>
    </w:rPr>
  </w:style>
  <w:style w:type="paragraph" w:styleId="Heading4">
    <w:name w:val="heading 4"/>
    <w:basedOn w:val="Heading"/>
    <w:next w:val="Heading4"/>
    <w:qFormat/>
    <w:pPr>
      <w:keepLines/>
      <w:spacing w:after="40"/>
      <w:outlineLvl w:val="3"/>
    </w:pPr>
    <w:rPr>
      <w:b/>
      <w:bCs/>
      <w:sz w:val="24"/>
      <w:szCs w:val="24"/>
      <w:lang w:val="en-GB" w:eastAsia="en-GB" w:bidi="en-GB"/>
    </w:rPr>
  </w:style>
  <w:style w:type="paragraph" w:styleId="Heading5">
    <w:name w:val="heading 5"/>
    <w:basedOn w:val="Heading"/>
    <w:next w:val="Heading5"/>
    <w:qFormat/>
    <w:pPr>
      <w:keepLines/>
      <w:spacing w:before="220" w:after="40"/>
      <w:outlineLvl w:val="4"/>
    </w:pPr>
    <w:rPr>
      <w:b/>
      <w:bCs/>
      <w:lang w:val="en-GB" w:eastAsia="en-GB" w:bidi="en-GB"/>
    </w:rPr>
  </w:style>
  <w:style w:type="paragraph" w:styleId="Heading6">
    <w:name w:val="heading 6"/>
    <w:basedOn w:val="Heading"/>
    <w:next w:val="Heading6"/>
    <w:qFormat/>
    <w:pPr>
      <w:keepLines/>
      <w:spacing w:before="200" w:after="40"/>
      <w:outlineLvl w:val="5"/>
    </w:pPr>
    <w:rPr>
      <w:b/>
      <w:bCs/>
      <w:sz w:val="20"/>
      <w:szCs w:val="20"/>
      <w:lang w:val="en-GB" w:eastAsia="en-GB" w:bidi="en-GB"/>
    </w:rPr>
  </w:style>
  <w:style w:type="paragraph" w:styleId="BodyText">
    <w:name w:val="Body Text"/>
    <w:basedOn w:val="Normal"/>
    <w:next w:val="BodyText"/>
    <w:qFormat/>
    <w:pPr>
      <w:spacing w:after="140" w:line="276" w:lineRule="auto"/>
    </w:pPr>
    <w:rPr>
      <w:lang w:val="en-GB" w:eastAsia="en-GB" w:bidi="en-GB"/>
    </w:rPr>
  </w:style>
  <w:style w:type="paragraph" w:styleId="List">
    <w:name w:val="List"/>
    <w:basedOn w:val="BodyText"/>
    <w:next w:val="List"/>
    <w:qFormat/>
    <w:pPr/>
    <w:rPr>
      <w:lang w:val="en-GB" w:eastAsia="en-GB" w:bidi="en-GB"/>
    </w:rPr>
  </w:style>
  <w:style w:type="paragraph" w:styleId="Caption">
    <w:name w:val="caption"/>
    <w:basedOn w:val="Normal"/>
    <w:next w:val="Caption"/>
    <w:qFormat/>
    <w:pPr>
      <w:spacing w:before="120"/>
    </w:pPr>
    <w:rPr>
      <w:i/>
      <w:iCs/>
      <w:sz w:val="24"/>
      <w:szCs w:val="24"/>
      <w:lang w:val="en-GB" w:eastAsia="en-GB" w:bidi="en-GB"/>
    </w:rPr>
  </w:style>
  <w:style w:type="paragraph" w:styleId="Index" w:customStyle="1">
    <w:name w:val="Index"/>
    <w:basedOn w:val="Normal"/>
    <w:next w:val="Index"/>
    <w:qFormat/>
    <w:pPr/>
    <w:rPr>
      <w:lang w:val="en-GB" w:eastAsia="en-GB" w:bidi="en-GB"/>
    </w:rPr>
  </w:style>
  <w:style w:type="paragraph" w:styleId="Header and Footer" w:customStyle="1">
    <w:name w:val="Header and Footer"/>
    <w:basedOn w:val="Normal"/>
    <w:next w:val="Header and Footer"/>
    <w:qFormat/>
    <w:pPr/>
    <w:rPr>
      <w:lang w:val="en-GB" w:eastAsia="en-GB" w:bidi="en-GB"/>
    </w:rPr>
  </w:style>
  <w:style w:type="paragraph" w:styleId="Header">
    <w:name w:val="header"/>
    <w:basedOn w:val="Header and Footer"/>
    <w:next w:val="Header"/>
    <w:qFormat/>
    <w:pPr/>
    <w:rPr>
      <w:lang w:val="en-GB" w:eastAsia="en-GB" w:bidi="en-GB"/>
    </w:rPr>
  </w:style>
  <w:style w:type="paragraph" w:styleId="Footer">
    <w:name w:val="footer"/>
    <w:basedOn w:val="Header and Footer"/>
    <w:next w:val="Footer"/>
    <w:qFormat/>
    <w:pPr/>
    <w:rPr>
      <w:lang w:val="en-GB" w:eastAsia="en-GB" w:bidi="en-GB"/>
    </w:rPr>
  </w:style>
  <w:style w:type="character" w:styleId="CommentReference">
    <w:name w:val="annotation reference"/>
    <w:qFormat/>
    <w:rPr>
      <w:sz w:val="16"/>
      <w:szCs w:val="16"/>
      <w:rtl w:val="off"/>
    </w:rPr>
  </w:style>
  <w:style w:type="paragraph" w:styleId="CommentText">
    <w:name w:val="annotation text"/>
    <w:basedOn w:val="Normal"/>
    <w:next w:val="CommentText"/>
    <w:qFormat/>
    <w:pPr>
      <w:spacing w:line="240" w:lineRule="auto"/>
    </w:pPr>
    <w:rPr>
      <w:sz w:val="20"/>
      <w:szCs w:val="20"/>
      <w:lang w:val="en-GB" w:eastAsia="en-GB" w:bidi="en-GB"/>
    </w:rPr>
  </w:style>
  <w:style w:type="paragraph" w:styleId="CommentSubject">
    <w:name w:val="annotation subject"/>
    <w:basedOn w:val="CommentText"/>
    <w:next w:val="CommentText"/>
    <w:qFormat/>
    <w:pPr/>
    <w:rPr>
      <w:b/>
      <w:bCs/>
      <w:lang w:val="en-GB" w:eastAsia="en-GB" w:bidi="en-GB"/>
    </w:rPr>
  </w:style>
  <w:style w:type="character" w:styleId="Comment Text Char" w:customStyle="1">
    <w:name w:val="Comment Text Char"/>
    <w:qFormat/>
    <w:rPr>
      <w:sz w:val="20"/>
      <w:szCs w:val="20"/>
      <w:rtl w:val="off"/>
    </w:rPr>
  </w:style>
  <w:style w:type="character" w:styleId="Comment Subject Char" w:customStyle="1">
    <w:name w:val="Comment Subject Char"/>
    <w:basedOn w:val="Comment Text Char"/>
    <w:qFormat/>
    <w:rPr>
      <w:b/>
      <w:bCs/>
      <w:sz w:val="20"/>
      <w:szCs w:val="20"/>
    </w:rPr>
  </w:style>
  <w:style w:type="character" w:styleId="UnresolvedMention">
    <w:name w:val="Unresolved Mention"/>
    <w:qFormat/>
    <w:rPr>
      <w:color w:val="605E5C"/>
      <w:shd w:val="clear" w:color="auto" w:fill="E1DFDD"/>
      <w:rtl w:val="off"/>
    </w:rPr>
  </w:style>
  <w:style w:type="paragraph" w:styleId="NoSpacing">
    <w:name w:val="No Spacing"/>
    <w:basedOn w:val="[Normal]"/>
    <w:next w:val="No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libri" w:hAnsi="Calibri" w:eastAsia="Calibri" w:cs="Calibri"/>
      <w:sz w:val="22"/>
      <w:szCs w:val="22"/>
      <w:lang w:val="en-GB" w:eastAsia="en-GB" w:bidi="en-GB"/>
    </w:rPr>
  </w:style>
  <w:style w:type="character" w:styleId="Hyperlink">
    <w:name w:val="Hyperlink"/>
    <w:qFormat/>
    <w:rPr>
      <w:color w:val="0000FF"/>
      <w:u w:val="single"/>
      <w:rtl w:val="off"/>
    </w:rPr>
  </w:style>
  <w:style w:type="paragraph" w:styleId="Revision">
    <w:name w:val="Revision"/>
    <w:basedOn w:val="[Normal]"/>
    <w:next w:val="Revision"/>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libri" w:hAnsi="Calibri" w:eastAsia="Calibri" w:cs="Calibri"/>
      <w:sz w:val="22"/>
      <w:szCs w:val="22"/>
      <w:lang w:val="en-GB" w:eastAsia="en-GB" w:bidi="en-GB"/>
    </w:rPr>
  </w:style>
  <w:style w:type="paragraph" w:styleId="Default" w:customStyle="1">
    <w:name w:val="Default"/>
    <w:basedOn w:val="[Normal]"/>
    <w:next w:val="Default"/>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color w:val="000000"/>
      <w:sz w:val="24"/>
      <w:szCs w:val="24"/>
      <w:lang w:val="en-GB" w:eastAsia="en-GB" w:bidi="en-GB"/>
    </w:rPr>
  </w:style>
  <w:style w:type="character" w:styleId="List Paragraph Char" w:customStyle="1">
    <w:name w:val="List Paragraph Char"/>
    <w:qFormat/>
    <w:rPr>
      <w:rtl w:val="off"/>
    </w:rPr>
  </w:style>
  <w:style w:type="paragraph" w:styleId="BODY" w:customStyle="1">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s>
</file>

<file path=word/_rels/document.xml.rels><?xml version="1.0" encoding="UTF-8" standalone="yes"?><Relationships xmlns="http://schemas.openxmlformats.org/package/2006/relationships">
	<Relationship Id="rId00005" Type="http://schemas.openxmlformats.org/officeDocument/2006/relationships/styles" Target="styles.xml"/>
	<Relationship Id="rId00008" Type="http://schemas.openxmlformats.org/officeDocument/2006/relationships/header" Target="header0001.xml"/>
	<Relationship Id="rId00009" Type="http://schemas.openxmlformats.org/officeDocument/2006/relationships/footer" Target="footer0001.xml"/>
	<Relationship Id="rId00010" Type="http://schemas.openxmlformats.org/officeDocument/2006/relationships/numbering" Target="numbering.xml"/>
	<Relationship Id="rId00011" Type="http://schemas.openxmlformats.org/officeDocument/2006/relationships/fontTable" Target="fontTable.xml"/>
	<Relationship Id="rId00012" Type="http://schemas.openxmlformats.org/officeDocument/2006/relationships/settings" Target="settings.xml"/>
</Relationships>
</file>

<file path=word/_rels/footer0001.xml.rels><?xml version="1.0" encoding="UTF-8" standalone="yes"?><Relationships xmlns="http://schemas.openxmlformats.org/package/2006/relationships">
	<Relationship Id="rId00007" Type="http://schemas.openxmlformats.org/officeDocument/2006/relationships/image" Target="media/image0002.tif"/>
</Relationships>
</file>

<file path=word/_rels/header0001.xml.rels><?xml version="1.0" encoding="UTF-8" standalone="yes"?><Relationships xmlns="http://schemas.openxmlformats.org/package/2006/relationships">
	<Relationship Id="rId00006" Type="http://schemas.openxmlformats.org/officeDocument/2006/relationships/image" Target="media/image0001.png"/>
</Relationships>
</file>

<file path=docProps/app.xml><?xml version="1.0" encoding="utf-8"?>
<Properties xmlns="http://schemas.openxmlformats.org/officeDocument/2006/extended-properties" xmlns:vt="http://schemas.openxmlformats.org/officeDocument/2006/docPropsVTypes">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html-to-docx html-to-docx</cp:keywords>
  <dc:creator>RoleMapper</dc:creator>
  <dcterms:created xsi:type="dcterms:W3CDTF">2025-12-22T14:15:00Z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ActionId">
    <vt:lpwstr>23349509-f910-4a1e-bd40-87813f2ace3e</vt:lpwstr>
  </property>
  <property fmtid="{D5CDD505-2E9C-101B-9397-08002B2CF9AE}" pid="5" name="MSIP_Label_a17471b1-27ab-4640-9264-e69a67407ca3_Method">
    <vt:lpwstr>Standard</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Name">
    <vt:lpwstr>BCC - OFFICIAL</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